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w:t>
      </w:r>
      <w:r>
        <w:rPr>
          <w:rFonts w:hint="eastAsia"/>
          <w:color w:val="auto"/>
          <w:highlight w:val="none"/>
        </w:rPr>
        <w:t>（比选人）：</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EAS财务系统二次开发接口服务</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EAS财务系统二次开发接口服务</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color w:val="auto"/>
          <w:highlight w:val="none"/>
          <w:lang w:eastAsia="zh-CN"/>
        </w:rPr>
        <w:t>授权委托书（如有）</w:t>
      </w:r>
      <w:r>
        <w:rPr>
          <w:rFonts w:hint="eastAsia"/>
          <w:i/>
          <w:iCs/>
          <w:color w:val="auto"/>
          <w:highlight w:val="none"/>
          <w:lang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7"/>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11"/>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11"/>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11"/>
              <w:jc w:val="center"/>
              <w:rPr>
                <w:rFonts w:hint="eastAsia" w:ascii="宋体" w:cs="仿宋_GB2312"/>
                <w:color w:val="auto"/>
                <w:spacing w:val="14"/>
                <w:szCs w:val="21"/>
                <w:highlight w:val="none"/>
              </w:rPr>
            </w:pPr>
          </w:p>
        </w:tc>
        <w:tc>
          <w:tcPr>
            <w:tcW w:w="144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11"/>
              <w:jc w:val="center"/>
              <w:rPr>
                <w:rFonts w:hint="eastAsia" w:ascii="宋体" w:cs="仿宋_GB2312"/>
                <w:color w:val="auto"/>
                <w:spacing w:val="14"/>
                <w:szCs w:val="21"/>
                <w:highlight w:val="none"/>
              </w:rPr>
            </w:pPr>
          </w:p>
        </w:tc>
        <w:tc>
          <w:tcPr>
            <w:tcW w:w="144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11"/>
              <w:jc w:val="center"/>
              <w:rPr>
                <w:rFonts w:hint="eastAsia" w:ascii="宋体" w:cs="仿宋_GB2312"/>
                <w:color w:val="auto"/>
                <w:spacing w:val="14"/>
                <w:szCs w:val="21"/>
                <w:highlight w:val="none"/>
              </w:rPr>
            </w:pPr>
          </w:p>
        </w:tc>
        <w:tc>
          <w:tcPr>
            <w:tcW w:w="144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11"/>
              <w:jc w:val="center"/>
              <w:rPr>
                <w:rFonts w:hint="eastAsia" w:ascii="宋体" w:cs="仿宋_GB2312"/>
                <w:color w:val="auto"/>
                <w:spacing w:val="14"/>
                <w:szCs w:val="21"/>
                <w:highlight w:val="none"/>
              </w:rPr>
            </w:pPr>
          </w:p>
        </w:tc>
        <w:tc>
          <w:tcPr>
            <w:tcW w:w="1440" w:type="dxa"/>
            <w:noWrap w:val="0"/>
            <w:vAlign w:val="center"/>
          </w:tcPr>
          <w:p>
            <w:pPr>
              <w:pStyle w:val="11"/>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11"/>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11"/>
              <w:rPr>
                <w:rFonts w:hint="eastAsia" w:ascii="宋体" w:cs="仿宋_GB2312"/>
                <w:color w:val="auto"/>
                <w:spacing w:val="14"/>
                <w:szCs w:val="21"/>
                <w:highlight w:val="none"/>
              </w:rPr>
            </w:pPr>
          </w:p>
          <w:p>
            <w:pPr>
              <w:pStyle w:val="11"/>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11"/>
        <w:rPr>
          <w:rFonts w:hint="eastAsia" w:ascii="宋体" w:cs="仿宋_GB2312"/>
          <w:color w:val="auto"/>
          <w:spacing w:val="14"/>
          <w:sz w:val="24"/>
          <w:highlight w:val="none"/>
        </w:rPr>
      </w:pPr>
    </w:p>
    <w:p>
      <w:pPr>
        <w:pStyle w:val="11"/>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11"/>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11"/>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7"/>
        <w:shd w:val="clear" w:color="auto" w:fill="FFFFFF"/>
        <w:spacing w:before="0" w:beforeAutospacing="0" w:after="0" w:afterAutospacing="0" w:line="560" w:lineRule="atLeast"/>
        <w:ind w:firstLine="640"/>
        <w:rPr>
          <w:color w:val="auto"/>
          <w:highlight w:val="none"/>
          <w:shd w:val="clear" w:color="auto" w:fill="FFFFFF"/>
        </w:rPr>
      </w:pPr>
    </w:p>
    <w:p>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7"/>
        <w:spacing w:before="0" w:beforeAutospacing="0" w:after="0" w:afterAutospacing="0" w:line="480" w:lineRule="auto"/>
        <w:ind w:firstLine="640"/>
        <w:jc w:val="both"/>
        <w:rPr>
          <w:color w:val="auto"/>
          <w:highlight w:val="none"/>
        </w:rPr>
      </w:pPr>
      <w:r>
        <w:rPr>
          <w:rFonts w:hint="eastAsia"/>
          <w:color w:val="auto"/>
          <w:highlight w:val="none"/>
        </w:rPr>
        <w:t>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7"/>
        <w:shd w:val="clear" w:color="auto" w:fill="FFFFFF"/>
        <w:spacing w:before="0" w:beforeAutospacing="0" w:after="0" w:afterAutospacing="0" w:line="560" w:lineRule="atLeast"/>
        <w:ind w:right="474"/>
        <w:jc w:val="right"/>
        <w:rPr>
          <w:color w:val="auto"/>
          <w:highlight w:val="none"/>
          <w:shd w:val="clear" w:color="auto" w:fill="FFFFFF"/>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p>
      <w:pPr>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pPr>
        <w:pStyle w:val="2"/>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color w:val="auto"/>
          <w:sz w:val="28"/>
          <w:szCs w:val="28"/>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pPr>
        <w:pStyle w:val="4"/>
        <w:rPr>
          <w:rFonts w:hint="eastAsia"/>
          <w:color w:val="auto"/>
          <w:lang w:val="en-US" w:eastAsia="zh-CN"/>
        </w:rPr>
      </w:pP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9"/>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792"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开发期限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806"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color w:val="auto"/>
                <w:kern w:val="0"/>
                <w:sz w:val="24"/>
                <w:szCs w:val="24"/>
                <w:lang w:val="en-US" w:eastAsia="zh-CN" w:bidi="ar-SA"/>
              </w:rPr>
            </w:pPr>
          </w:p>
        </w:tc>
      </w:tr>
    </w:tbl>
    <w:p>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pPr>
        <w:pStyle w:val="7"/>
        <w:spacing w:before="0" w:beforeAutospacing="0" w:after="0" w:afterAutospacing="0" w:line="480" w:lineRule="auto"/>
        <w:ind w:firstLine="640"/>
        <w:jc w:val="both"/>
        <w:rPr>
          <w:color w:val="auto"/>
          <w:highlight w:val="none"/>
        </w:rPr>
      </w:pP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报价函应独立密封。</w:t>
      </w:r>
    </w:p>
    <w:p>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分（比选公告或邀请书规定的比选时间）前不准启封”字样。</w:t>
      </w:r>
    </w:p>
    <w:p>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：评价办法</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综合评价中选法</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本比选项目采用</w:t>
      </w:r>
      <w:r>
        <w:rPr>
          <w:rFonts w:hint="eastAsia" w:cs="宋体"/>
          <w:b w:val="0"/>
          <w:bCs w:val="0"/>
          <w:color w:val="auto"/>
          <w:sz w:val="28"/>
          <w:szCs w:val="28"/>
          <w:highlight w:val="none"/>
          <w:lang w:eastAsia="zh-CN"/>
        </w:rPr>
        <w:t>综合评价</w:t>
      </w:r>
      <w:r>
        <w:rPr>
          <w:rFonts w:hint="eastAsia" w:ascii="宋体" w:hAnsi="宋体" w:eastAsia="宋体" w:cs="宋体"/>
          <w:b w:val="0"/>
          <w:bCs w:val="0"/>
          <w:color w:val="auto"/>
          <w:sz w:val="28"/>
          <w:szCs w:val="28"/>
          <w:highlight w:val="none"/>
        </w:rPr>
        <w:t>中选法</w:t>
      </w:r>
      <w:r>
        <w:rPr>
          <w:rFonts w:hint="eastAsia" w:ascii="宋体" w:hAnsi="宋体" w:eastAsia="宋体" w:cs="宋体"/>
          <w:b w:val="0"/>
          <w:bCs w:val="0"/>
          <w:color w:val="auto"/>
          <w:sz w:val="28"/>
          <w:szCs w:val="28"/>
          <w:highlight w:val="none"/>
          <w:lang w:eastAsia="zh-CN"/>
        </w:rPr>
        <w:t>。</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若资格条件、报价符合要求的比选申请人仅有1家时，直接确定其为候选单位</w:t>
      </w:r>
      <w:r>
        <w:rPr>
          <w:rFonts w:hint="eastAsia" w:cs="宋体"/>
          <w:color w:val="auto"/>
          <w:sz w:val="28"/>
          <w:szCs w:val="28"/>
          <w:highlight w:val="none"/>
          <w:lang w:eastAsia="zh-CN"/>
        </w:rPr>
        <w:t>。若资格条件、报价符合要求的比选申请人数量超过1家时，</w:t>
      </w:r>
      <w:r>
        <w:rPr>
          <w:rFonts w:hint="eastAsia" w:ascii="宋体" w:hAnsi="宋体" w:eastAsia="宋体" w:cs="宋体"/>
          <w:color w:val="auto"/>
          <w:sz w:val="28"/>
          <w:szCs w:val="28"/>
          <w:highlight w:val="none"/>
          <w:lang w:eastAsia="zh-CN"/>
        </w:rPr>
        <w:t>将</w:t>
      </w:r>
      <w:r>
        <w:rPr>
          <w:rFonts w:hint="eastAsia" w:ascii="宋体" w:hAnsi="宋体" w:eastAsia="宋体" w:cs="宋体"/>
          <w:color w:val="auto"/>
          <w:sz w:val="28"/>
          <w:szCs w:val="28"/>
          <w:highlight w:val="none"/>
        </w:rPr>
        <w:t>符合要求的</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按照本</w:t>
      </w:r>
      <w:r>
        <w:rPr>
          <w:rFonts w:hint="eastAsia" w:cs="宋体"/>
          <w:color w:val="auto"/>
          <w:sz w:val="28"/>
          <w:szCs w:val="28"/>
          <w:highlight w:val="none"/>
          <w:lang w:eastAsia="zh-CN"/>
        </w:rPr>
        <w:t>评价</w:t>
      </w:r>
      <w:r>
        <w:rPr>
          <w:rFonts w:hint="eastAsia" w:ascii="宋体" w:hAnsi="宋体" w:eastAsia="宋体" w:cs="宋体"/>
          <w:color w:val="auto"/>
          <w:sz w:val="28"/>
          <w:szCs w:val="28"/>
          <w:highlight w:val="none"/>
        </w:rPr>
        <w:t>办法中规定的各项因素进行</w:t>
      </w:r>
      <w:r>
        <w:rPr>
          <w:rFonts w:hint="eastAsia" w:cs="宋体"/>
          <w:color w:val="auto"/>
          <w:sz w:val="28"/>
          <w:szCs w:val="28"/>
          <w:highlight w:val="none"/>
          <w:lang w:eastAsia="zh-CN"/>
        </w:rPr>
        <w:t>综合评价</w:t>
      </w:r>
      <w:r>
        <w:rPr>
          <w:rFonts w:hint="eastAsia" w:ascii="宋体" w:hAnsi="宋体" w:eastAsia="宋体" w:cs="宋体"/>
          <w:color w:val="auto"/>
          <w:sz w:val="28"/>
          <w:szCs w:val="28"/>
          <w:highlight w:val="none"/>
          <w:lang w:eastAsia="zh-CN"/>
        </w:rPr>
        <w:t>，并根据</w:t>
      </w:r>
      <w:r>
        <w:rPr>
          <w:rFonts w:hint="eastAsia" w:ascii="宋体" w:hAnsi="宋体" w:eastAsia="宋体" w:cs="宋体"/>
          <w:color w:val="auto"/>
          <w:sz w:val="28"/>
          <w:szCs w:val="28"/>
          <w:highlight w:val="none"/>
        </w:rPr>
        <w:t>比选</w:t>
      </w:r>
      <w:r>
        <w:rPr>
          <w:rFonts w:hint="eastAsia" w:ascii="宋体" w:hAnsi="宋体" w:eastAsia="宋体" w:cs="宋体"/>
          <w:color w:val="auto"/>
          <w:sz w:val="28"/>
          <w:szCs w:val="28"/>
          <w:highlight w:val="none"/>
          <w:lang w:eastAsia="zh-CN"/>
        </w:rPr>
        <w:t>申请人的综合得分由高到低排序，综合得分最高</w:t>
      </w:r>
      <w:r>
        <w:rPr>
          <w:rFonts w:hint="eastAsia" w:ascii="宋体" w:hAnsi="宋体" w:eastAsia="宋体" w:cs="宋体"/>
          <w:color w:val="auto"/>
          <w:sz w:val="28"/>
          <w:szCs w:val="28"/>
          <w:highlight w:val="none"/>
        </w:rPr>
        <w:t>的为第一中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候选人，以此类推选择第二、第三中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候选人。当出现二个或二个以上</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eastAsia="zh-CN"/>
        </w:rPr>
        <w:t>综合得分</w:t>
      </w:r>
      <w:r>
        <w:rPr>
          <w:rFonts w:hint="eastAsia" w:ascii="宋体" w:hAnsi="宋体" w:eastAsia="宋体" w:cs="宋体"/>
          <w:color w:val="auto"/>
          <w:sz w:val="28"/>
          <w:szCs w:val="28"/>
          <w:highlight w:val="none"/>
        </w:rPr>
        <w:t>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依次</w:t>
      </w:r>
      <w:r>
        <w:rPr>
          <w:rFonts w:hint="eastAsia" w:cs="宋体"/>
          <w:color w:val="auto"/>
          <w:sz w:val="28"/>
          <w:szCs w:val="28"/>
          <w:highlight w:val="none"/>
          <w:lang w:eastAsia="zh-CN"/>
        </w:rPr>
        <w:t>按照</w:t>
      </w:r>
      <w:r>
        <w:rPr>
          <w:rFonts w:hint="eastAsia" w:ascii="宋体" w:hAnsi="宋体" w:eastAsia="宋体" w:cs="宋体"/>
          <w:i w:val="0"/>
          <w:iCs w:val="0"/>
          <w:color w:val="auto"/>
          <w:sz w:val="28"/>
          <w:szCs w:val="28"/>
          <w:highlight w:val="none"/>
          <w:u w:val="single"/>
          <w:lang w:eastAsia="zh-CN"/>
        </w:rPr>
        <w:t>比选</w:t>
      </w:r>
      <w:r>
        <w:rPr>
          <w:rFonts w:hint="eastAsia" w:ascii="宋体" w:hAnsi="宋体" w:eastAsia="宋体" w:cs="宋体"/>
          <w:i w:val="0"/>
          <w:iCs w:val="0"/>
          <w:color w:val="auto"/>
          <w:sz w:val="28"/>
          <w:szCs w:val="28"/>
          <w:highlight w:val="none"/>
          <w:u w:val="single"/>
        </w:rPr>
        <w:t>报价由低到高、技术部分</w:t>
      </w:r>
      <w:r>
        <w:rPr>
          <w:rFonts w:hint="eastAsia" w:ascii="宋体" w:hAnsi="宋体" w:eastAsia="宋体" w:cs="宋体"/>
          <w:i w:val="0"/>
          <w:iCs w:val="0"/>
          <w:color w:val="auto"/>
          <w:sz w:val="28"/>
          <w:szCs w:val="28"/>
          <w:highlight w:val="none"/>
          <w:u w:val="single"/>
          <w:lang w:eastAsia="zh-CN"/>
        </w:rPr>
        <w:t>得分得分由高到低</w:t>
      </w:r>
      <w:r>
        <w:rPr>
          <w:rFonts w:hint="eastAsia" w:ascii="宋体" w:hAnsi="宋体" w:eastAsia="宋体" w:cs="宋体"/>
          <w:color w:val="auto"/>
          <w:sz w:val="28"/>
          <w:szCs w:val="28"/>
          <w:highlight w:val="none"/>
        </w:rPr>
        <w:t>进行排序，若上述</w:t>
      </w:r>
      <w:r>
        <w:rPr>
          <w:rFonts w:hint="eastAsia" w:cs="宋体"/>
          <w:color w:val="auto"/>
          <w:sz w:val="28"/>
          <w:szCs w:val="28"/>
          <w:highlight w:val="none"/>
          <w:lang w:val="en-US" w:eastAsia="zh-CN"/>
        </w:rPr>
        <w:t>二</w:t>
      </w:r>
      <w:r>
        <w:rPr>
          <w:rFonts w:hint="eastAsia" w:ascii="宋体" w:hAnsi="宋体" w:eastAsia="宋体" w:cs="宋体"/>
          <w:color w:val="auto"/>
          <w:sz w:val="28"/>
          <w:szCs w:val="28"/>
          <w:highlight w:val="none"/>
        </w:rPr>
        <w:t>项均相同时，由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随机抽取</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以比选申请人提交比选申请书的签到号作为代表号（代表号不再另行抽取）</w:t>
      </w:r>
      <w:r>
        <w:rPr>
          <w:rFonts w:hint="eastAsia" w:ascii="宋体" w:hAnsi="宋体" w:eastAsia="宋体" w:cs="宋体"/>
          <w:color w:val="auto"/>
          <w:sz w:val="28"/>
          <w:szCs w:val="28"/>
          <w:highlight w:val="none"/>
          <w:lang w:eastAsia="zh-CN"/>
        </w:rPr>
        <w:t>进行</w:t>
      </w:r>
      <w:r>
        <w:rPr>
          <w:rFonts w:hint="eastAsia" w:ascii="宋体" w:hAnsi="宋体" w:eastAsia="宋体" w:cs="宋体"/>
          <w:color w:val="auto"/>
          <w:sz w:val="28"/>
          <w:szCs w:val="28"/>
          <w:highlight w:val="none"/>
        </w:rPr>
        <w:t>随机抽取，先抽取出来的球号排序在前。</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各项因素分值如下：</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1</w:t>
      </w:r>
      <w:r>
        <w:rPr>
          <w:rFonts w:hint="eastAsia" w:cs="宋体"/>
          <w:b/>
          <w:bCs/>
          <w:color w:val="auto"/>
          <w:sz w:val="28"/>
          <w:szCs w:val="28"/>
          <w:highlight w:val="none"/>
          <w:lang w:eastAsia="zh-CN"/>
        </w:rPr>
        <w:t>）</w:t>
      </w:r>
      <w:r>
        <w:rPr>
          <w:rFonts w:hint="eastAsia" w:ascii="宋体" w:hAnsi="宋体" w:cs="宋体"/>
          <w:b/>
          <w:bCs/>
          <w:color w:val="auto"/>
          <w:sz w:val="28"/>
          <w:szCs w:val="28"/>
          <w:highlight w:val="none"/>
        </w:rPr>
        <w:t>价格部分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85 </w:t>
      </w:r>
      <w:r>
        <w:rPr>
          <w:rFonts w:hint="eastAsia" w:ascii="宋体" w:hAnsi="宋体" w:cs="宋体"/>
          <w:b/>
          <w:bCs/>
          <w:color w:val="auto"/>
          <w:sz w:val="28"/>
          <w:szCs w:val="28"/>
          <w:highlight w:val="none"/>
        </w:rPr>
        <w:t>分</w:t>
      </w:r>
    </w:p>
    <w:p>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2</w:t>
      </w:r>
      <w:r>
        <w:rPr>
          <w:rFonts w:hint="eastAsia" w:cs="宋体"/>
          <w:b/>
          <w:bCs/>
          <w:color w:val="auto"/>
          <w:sz w:val="28"/>
          <w:szCs w:val="28"/>
          <w:highlight w:val="none"/>
          <w:lang w:eastAsia="zh-CN"/>
        </w:rPr>
        <w:t>）</w:t>
      </w:r>
      <w:r>
        <w:rPr>
          <w:rFonts w:hint="eastAsia" w:ascii="宋体" w:hAnsi="宋体" w:eastAsia="宋体" w:cs="宋体"/>
          <w:b/>
          <w:bCs/>
          <w:color w:val="auto"/>
          <w:sz w:val="28"/>
          <w:szCs w:val="28"/>
          <w:highlight w:val="none"/>
        </w:rPr>
        <w:t>技术</w:t>
      </w:r>
      <w:r>
        <w:rPr>
          <w:rFonts w:hint="eastAsia" w:ascii="宋体" w:hAnsi="宋体" w:cs="宋体"/>
          <w:b/>
          <w:bCs/>
          <w:color w:val="auto"/>
          <w:sz w:val="28"/>
          <w:szCs w:val="28"/>
          <w:highlight w:val="none"/>
        </w:rPr>
        <w:t>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15 </w:t>
      </w:r>
      <w:r>
        <w:rPr>
          <w:rFonts w:hint="eastAsia" w:ascii="宋体" w:hAnsi="宋体" w:cs="宋体"/>
          <w:b/>
          <w:bCs/>
          <w:color w:val="auto"/>
          <w:sz w:val="28"/>
          <w:szCs w:val="28"/>
          <w:highlight w:val="none"/>
        </w:rPr>
        <w:t>分</w:t>
      </w:r>
    </w:p>
    <w:p>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pPr>
        <w:keepNext w:val="0"/>
        <w:keepLines w:val="0"/>
        <w:pageBreakBefore w:val="0"/>
        <w:widowControl/>
        <w:kinsoku/>
        <w:wordWrap/>
        <w:overflowPunct/>
        <w:topLinePunct w:val="0"/>
        <w:autoSpaceDE/>
        <w:autoSpaceDN/>
        <w:bidi w:val="0"/>
        <w:adjustRightInd/>
        <w:spacing w:line="520" w:lineRule="exact"/>
        <w:ind w:firstLine="480"/>
        <w:jc w:val="left"/>
        <w:textAlignment w:val="auto"/>
        <w:rPr>
          <w:rFonts w:ascii="宋体" w:hAnsi="宋体" w:cs="宋体"/>
          <w:color w:val="auto"/>
          <w:kern w:val="1"/>
          <w:sz w:val="28"/>
          <w:szCs w:val="28"/>
          <w:highlight w:val="none"/>
        </w:rPr>
      </w:pPr>
    </w:p>
    <w:p>
      <w:pPr>
        <w:pStyle w:val="8"/>
        <w:keepNext w:val="0"/>
        <w:keepLines w:val="0"/>
        <w:pageBreakBefore w:val="0"/>
        <w:widowControl w:val="0"/>
        <w:kinsoku/>
        <w:wordWrap/>
        <w:overflowPunct/>
        <w:topLinePunct w:val="0"/>
        <w:autoSpaceDE/>
        <w:autoSpaceDN/>
        <w:bidi w:val="0"/>
        <w:adjustRightInd/>
        <w:snapToGrid/>
        <w:spacing w:before="0" w:after="0"/>
        <w:jc w:val="both"/>
        <w:textAlignment w:val="auto"/>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第一部分  价格部分</w:t>
      </w:r>
      <w:r>
        <w:rPr>
          <w:rFonts w:hint="eastAsia" w:ascii="宋体" w:hAnsi="宋体" w:cs="宋体"/>
          <w:bCs w:val="0"/>
          <w:color w:val="auto"/>
          <w:sz w:val="28"/>
          <w:szCs w:val="28"/>
          <w:highlight w:val="none"/>
          <w:lang w:eastAsia="zh-CN"/>
        </w:rPr>
        <w:t>评价标准</w:t>
      </w:r>
      <w:r>
        <w:rPr>
          <w:rFonts w:hint="eastAsia" w:ascii="宋体" w:hAnsi="宋体" w:cs="宋体"/>
          <w:bCs w:val="0"/>
          <w:color w:val="auto"/>
          <w:sz w:val="28"/>
          <w:szCs w:val="28"/>
          <w:highlight w:val="none"/>
        </w:rPr>
        <w:tab/>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85 </w:t>
      </w:r>
      <w:r>
        <w:rPr>
          <w:rFonts w:hint="eastAsia" w:ascii="宋体" w:hAnsi="宋体" w:cs="宋体"/>
          <w:bCs w:val="0"/>
          <w:color w:val="auto"/>
          <w:sz w:val="28"/>
          <w:szCs w:val="28"/>
          <w:highlight w:val="none"/>
        </w:rPr>
        <w:t>分）</w:t>
      </w:r>
    </w:p>
    <w:tbl>
      <w:tblPr>
        <w:tblStyle w:val="9"/>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pPr>
              <w:pStyle w:val="8"/>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0" w:name="_Toc9384"/>
            <w:r>
              <w:rPr>
                <w:rFonts w:hint="eastAsia" w:ascii="宋体" w:hAnsi="宋体" w:eastAsia="宋体" w:cs="宋体"/>
                <w:bCs w:val="0"/>
                <w:color w:val="auto"/>
                <w:sz w:val="28"/>
                <w:szCs w:val="28"/>
                <w:highlight w:val="none"/>
              </w:rPr>
              <w:t>序号</w:t>
            </w:r>
            <w:bookmarkEnd w:id="0"/>
          </w:p>
        </w:tc>
        <w:tc>
          <w:tcPr>
            <w:tcW w:w="1381" w:type="dxa"/>
            <w:noWrap w:val="0"/>
            <w:vAlign w:val="center"/>
          </w:tcPr>
          <w:p>
            <w:pPr>
              <w:pStyle w:val="8"/>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1" w:name="_Toc1402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项目</w:t>
            </w:r>
            <w:bookmarkEnd w:id="1"/>
          </w:p>
        </w:tc>
        <w:tc>
          <w:tcPr>
            <w:tcW w:w="1374" w:type="dxa"/>
            <w:noWrap w:val="0"/>
            <w:vAlign w:val="center"/>
          </w:tcPr>
          <w:p>
            <w:pPr>
              <w:pStyle w:val="8"/>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2" w:name="_Toc29875"/>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分值</w:t>
            </w:r>
            <w:bookmarkEnd w:id="2"/>
          </w:p>
        </w:tc>
        <w:tc>
          <w:tcPr>
            <w:tcW w:w="6285" w:type="dxa"/>
            <w:noWrap w:val="0"/>
            <w:vAlign w:val="center"/>
          </w:tcPr>
          <w:p>
            <w:pPr>
              <w:pStyle w:val="8"/>
              <w:keepNext w:val="0"/>
              <w:keepLines w:val="0"/>
              <w:pageBreakBefore w:val="0"/>
              <w:widowControl w:val="0"/>
              <w:kinsoku/>
              <w:wordWrap/>
              <w:overflowPunct/>
              <w:topLinePunct w:val="0"/>
              <w:autoSpaceDE/>
              <w:autoSpaceDN/>
              <w:bidi w:val="0"/>
              <w:adjustRightInd/>
              <w:snapToGrid/>
              <w:spacing w:before="0" w:after="0" w:line="440" w:lineRule="exact"/>
              <w:jc w:val="center"/>
              <w:textAlignment w:val="auto"/>
              <w:outlineLvl w:val="9"/>
              <w:rPr>
                <w:rFonts w:hint="eastAsia" w:ascii="宋体" w:hAnsi="宋体" w:eastAsia="宋体" w:cs="宋体"/>
                <w:bCs w:val="0"/>
                <w:color w:val="auto"/>
                <w:sz w:val="28"/>
                <w:szCs w:val="28"/>
                <w:highlight w:val="none"/>
              </w:rPr>
            </w:pPr>
            <w:bookmarkStart w:id="3" w:name="_Toc26366"/>
            <w:r>
              <w:rPr>
                <w:rFonts w:hint="eastAsia" w:ascii="宋体" w:hAnsi="宋体" w:eastAsia="宋体" w:cs="宋体"/>
                <w:b/>
                <w:color w:val="auto"/>
                <w:sz w:val="28"/>
                <w:szCs w:val="28"/>
                <w:highlight w:val="none"/>
                <w:lang w:eastAsia="zh-CN"/>
              </w:rPr>
              <w:t>评价</w:t>
            </w:r>
            <w:r>
              <w:rPr>
                <w:rFonts w:hint="eastAsia" w:ascii="宋体" w:hAnsi="宋体" w:eastAsia="宋体" w:cs="宋体"/>
                <w:bCs w:val="0"/>
                <w:color w:val="auto"/>
                <w:sz w:val="28"/>
                <w:szCs w:val="28"/>
                <w:highlight w:val="none"/>
              </w:rPr>
              <w:t>标准</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pPr>
              <w:pStyle w:val="8"/>
              <w:keepNext w:val="0"/>
              <w:keepLines w:val="0"/>
              <w:pageBreakBefore w:val="0"/>
              <w:widowControl w:val="0"/>
              <w:kinsoku/>
              <w:wordWrap/>
              <w:overflowPunct/>
              <w:topLinePunct w:val="0"/>
              <w:autoSpaceDE/>
              <w:autoSpaceDN/>
              <w:bidi w:val="0"/>
              <w:adjustRightInd/>
              <w:snapToGrid/>
              <w:spacing w:before="0" w:after="0" w:line="440" w:lineRule="exact"/>
              <w:ind w:firstLine="280" w:firstLineChars="100"/>
              <w:jc w:val="both"/>
              <w:textAlignment w:val="auto"/>
              <w:outlineLvl w:val="9"/>
              <w:rPr>
                <w:rFonts w:hint="eastAsia" w:ascii="宋体" w:hAnsi="宋体" w:eastAsia="宋体" w:cs="宋体"/>
                <w:b w:val="0"/>
                <w:bCs w:val="0"/>
                <w:color w:val="auto"/>
                <w:sz w:val="28"/>
                <w:szCs w:val="28"/>
                <w:highlight w:val="none"/>
              </w:rPr>
            </w:pPr>
            <w:bookmarkStart w:id="4" w:name="_Toc12598"/>
            <w:r>
              <w:rPr>
                <w:rFonts w:hint="eastAsia" w:ascii="宋体" w:hAnsi="宋体" w:eastAsia="宋体" w:cs="宋体"/>
                <w:b w:val="0"/>
                <w:bCs w:val="0"/>
                <w:color w:val="auto"/>
                <w:sz w:val="28"/>
                <w:szCs w:val="28"/>
                <w:highlight w:val="none"/>
              </w:rPr>
              <w:t>1</w:t>
            </w:r>
            <w:bookmarkEnd w:id="4"/>
          </w:p>
        </w:tc>
        <w:tc>
          <w:tcPr>
            <w:tcW w:w="1381" w:type="dxa"/>
            <w:noWrap w:val="0"/>
            <w:vAlign w:val="center"/>
          </w:tcPr>
          <w:p>
            <w:pPr>
              <w:pStyle w:val="8"/>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auto"/>
                <w:sz w:val="28"/>
                <w:szCs w:val="28"/>
                <w:highlight w:val="none"/>
              </w:rPr>
            </w:pPr>
            <w:bookmarkStart w:id="5" w:name="_Toc16308"/>
            <w:r>
              <w:rPr>
                <w:rFonts w:hint="eastAsia" w:ascii="宋体" w:hAnsi="宋体" w:eastAsia="宋体" w:cs="宋体"/>
                <w:b w:val="0"/>
                <w:bCs w:val="0"/>
                <w:color w:val="auto"/>
                <w:sz w:val="28"/>
                <w:szCs w:val="28"/>
                <w:highlight w:val="none"/>
              </w:rPr>
              <w:t>报价得分</w:t>
            </w:r>
            <w:bookmarkEnd w:id="5"/>
          </w:p>
        </w:tc>
        <w:tc>
          <w:tcPr>
            <w:tcW w:w="1374" w:type="dxa"/>
            <w:noWrap w:val="0"/>
            <w:vAlign w:val="center"/>
          </w:tcPr>
          <w:p>
            <w:pPr>
              <w:pStyle w:val="8"/>
              <w:keepNext w:val="0"/>
              <w:keepLines w:val="0"/>
              <w:pageBreakBefore w:val="0"/>
              <w:widowControl w:val="0"/>
              <w:kinsoku/>
              <w:wordWrap/>
              <w:overflowPunct/>
              <w:topLinePunct w:val="0"/>
              <w:autoSpaceDE/>
              <w:autoSpaceDN/>
              <w:bidi w:val="0"/>
              <w:adjustRightInd/>
              <w:snapToGrid/>
              <w:spacing w:before="0" w:after="0" w:line="440" w:lineRule="exact"/>
              <w:textAlignment w:val="auto"/>
              <w:outlineLvl w:val="9"/>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u w:val="single"/>
                <w:lang w:val="en-US" w:eastAsia="zh-CN"/>
              </w:rPr>
              <w:t>85</w:t>
            </w:r>
            <w:r>
              <w:rPr>
                <w:rFonts w:hint="eastAsia" w:ascii="宋体" w:hAnsi="宋体" w:eastAsia="宋体" w:cs="宋体"/>
                <w:b w:val="0"/>
                <w:bCs w:val="0"/>
                <w:color w:val="auto"/>
                <w:sz w:val="28"/>
                <w:szCs w:val="28"/>
                <w:highlight w:val="none"/>
                <w:lang w:eastAsia="zh-CN"/>
              </w:rPr>
              <w:t>分</w:t>
            </w:r>
          </w:p>
        </w:tc>
        <w:tc>
          <w:tcPr>
            <w:tcW w:w="6285" w:type="dxa"/>
            <w:noWrap w:val="0"/>
            <w:vAlign w:val="center"/>
          </w:tcPr>
          <w:p>
            <w:pPr>
              <w:pStyle w:val="12"/>
              <w:keepNext w:val="0"/>
              <w:keepLines w:val="0"/>
              <w:pageBreakBefore w:val="0"/>
              <w:widowControl w:val="0"/>
              <w:kinsoku/>
              <w:wordWrap/>
              <w:overflowPunct/>
              <w:topLinePunct w:val="0"/>
              <w:autoSpaceDE/>
              <w:autoSpaceDN/>
              <w:bidi w:val="0"/>
              <w:adjustRightInd/>
              <w:snapToGrid/>
              <w:spacing w:before="0" w:after="0" w:line="440" w:lineRule="exact"/>
              <w:ind w:firstLine="600" w:firstLineChars="200"/>
              <w:textAlignment w:val="auto"/>
              <w:rPr>
                <w:rFonts w:hint="eastAsia" w:ascii="宋体" w:hAnsi="宋体" w:eastAsia="宋体" w:cs="宋体"/>
                <w:color w:val="auto"/>
                <w:sz w:val="28"/>
                <w:szCs w:val="28"/>
                <w:highlight w:val="none"/>
              </w:rPr>
            </w:pPr>
            <w:r>
              <w:rPr>
                <w:rFonts w:hint="eastAsia" w:ascii="宋体" w:hAnsi="宋体" w:eastAsia="宋体" w:cs="宋体"/>
                <w:b w:val="0"/>
                <w:bCs w:val="0"/>
                <w:color w:val="auto"/>
                <w:sz w:val="28"/>
                <w:szCs w:val="28"/>
                <w:highlight w:val="none"/>
                <w:lang w:val="en-US" w:eastAsia="zh-CN"/>
              </w:rPr>
              <w:t>由低到高排序，第一名得85分，第二名得83分，第三名得81分，其他名次得79分。若出现二家或以上报价相同的视为同一名次。</w:t>
            </w:r>
          </w:p>
        </w:tc>
      </w:tr>
    </w:tbl>
    <w:p>
      <w:pPr>
        <w:rPr>
          <w:rFonts w:hint="eastAsia"/>
          <w:color w:val="auto"/>
        </w:rPr>
      </w:pPr>
    </w:p>
    <w:p>
      <w:pPr>
        <w:pStyle w:val="8"/>
        <w:jc w:val="both"/>
        <w:outlineLvl w:val="9"/>
        <w:rPr>
          <w:rFonts w:hint="eastAsia" w:ascii="宋体" w:hAnsi="宋体" w:cs="宋体"/>
          <w:bCs w:val="0"/>
          <w:color w:val="auto"/>
          <w:sz w:val="28"/>
          <w:szCs w:val="28"/>
          <w:highlight w:val="none"/>
        </w:rPr>
      </w:pPr>
      <w:bookmarkStart w:id="6" w:name="_Toc17988"/>
    </w:p>
    <w:p>
      <w:pPr>
        <w:rPr>
          <w:rFonts w:hint="eastAsia" w:ascii="宋体" w:hAnsi="宋体" w:cs="宋体"/>
          <w:bCs w:val="0"/>
          <w:color w:val="auto"/>
          <w:sz w:val="28"/>
          <w:szCs w:val="28"/>
          <w:highlight w:val="none"/>
        </w:rPr>
      </w:pPr>
    </w:p>
    <w:p>
      <w:pPr>
        <w:pStyle w:val="8"/>
        <w:jc w:val="both"/>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第二部分  技术部分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15 </w:t>
      </w:r>
      <w:r>
        <w:rPr>
          <w:rFonts w:hint="eastAsia" w:ascii="宋体" w:hAnsi="宋体" w:cs="宋体"/>
          <w:bCs w:val="0"/>
          <w:color w:val="auto"/>
          <w:sz w:val="28"/>
          <w:szCs w:val="28"/>
          <w:highlight w:val="none"/>
        </w:rPr>
        <w:t>分）</w:t>
      </w:r>
      <w:bookmarkEnd w:id="6"/>
    </w:p>
    <w:tbl>
      <w:tblPr>
        <w:tblStyle w:val="9"/>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pPr>
              <w:pStyle w:val="3"/>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序号</w:t>
            </w:r>
          </w:p>
        </w:tc>
        <w:tc>
          <w:tcPr>
            <w:tcW w:w="1357" w:type="dxa"/>
            <w:noWrap w:val="0"/>
            <w:vAlign w:val="center"/>
          </w:tcPr>
          <w:p>
            <w:pPr>
              <w:pStyle w:val="3"/>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项目</w:t>
            </w:r>
          </w:p>
        </w:tc>
        <w:tc>
          <w:tcPr>
            <w:tcW w:w="1389" w:type="dxa"/>
            <w:noWrap w:val="0"/>
            <w:vAlign w:val="center"/>
          </w:tcPr>
          <w:p>
            <w:pPr>
              <w:pStyle w:val="3"/>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分值</w:t>
            </w:r>
          </w:p>
        </w:tc>
        <w:tc>
          <w:tcPr>
            <w:tcW w:w="6272" w:type="dxa"/>
            <w:noWrap w:val="0"/>
            <w:vAlign w:val="center"/>
          </w:tcPr>
          <w:p>
            <w:pPr>
              <w:pStyle w:val="3"/>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评价</w:t>
            </w:r>
            <w:r>
              <w:rPr>
                <w:rFonts w:hint="eastAsia" w:ascii="宋体" w:hAnsi="宋体" w:eastAsia="宋体" w:cs="宋体"/>
                <w:b/>
                <w:color w:val="auto"/>
                <w:sz w:val="28"/>
                <w:szCs w:val="28"/>
                <w:highlight w:val="none"/>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jc w:val="center"/>
        </w:trPr>
        <w:tc>
          <w:tcPr>
            <w:tcW w:w="827" w:type="dxa"/>
            <w:vMerge w:val="restart"/>
            <w:noWrap w:val="0"/>
            <w:vAlign w:val="center"/>
          </w:tcPr>
          <w:p>
            <w:pPr>
              <w:pStyle w:val="3"/>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w:t>
            </w:r>
          </w:p>
        </w:tc>
        <w:tc>
          <w:tcPr>
            <w:tcW w:w="1357"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现状的描述和了解</w:t>
            </w:r>
          </w:p>
        </w:tc>
        <w:tc>
          <w:tcPr>
            <w:tcW w:w="1389"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u w:val="single"/>
                <w:lang w:val="en-US" w:eastAsia="zh-CN"/>
              </w:rPr>
              <w:t>3</w:t>
            </w:r>
            <w:r>
              <w:rPr>
                <w:rFonts w:hint="eastAsia" w:ascii="宋体" w:hAnsi="宋体" w:eastAsia="宋体" w:cs="宋体"/>
                <w:b w:val="0"/>
                <w:bCs w:val="0"/>
                <w:color w:val="auto"/>
                <w:kern w:val="1"/>
                <w:sz w:val="28"/>
                <w:szCs w:val="28"/>
                <w:highlight w:val="none"/>
                <w:lang w:val="en-US" w:eastAsia="zh-CN"/>
              </w:rPr>
              <w:t>分</w:t>
            </w:r>
          </w:p>
        </w:tc>
        <w:tc>
          <w:tcPr>
            <w:tcW w:w="6272" w:type="dxa"/>
            <w:noWrap w:val="0"/>
            <w:vAlign w:val="center"/>
          </w:tcPr>
          <w:p>
            <w:pPr>
              <w:keepNext w:val="0"/>
              <w:keepLines w:val="0"/>
              <w:pageBreakBefore w:val="0"/>
              <w:numPr>
                <w:ilvl w:val="0"/>
                <w:numId w:val="0"/>
              </w:numPr>
              <w:kinsoku/>
              <w:wordWrap/>
              <w:overflowPunct/>
              <w:topLinePunct w:val="0"/>
              <w:autoSpaceDE/>
              <w:autoSpaceDN/>
              <w:bidi w:val="0"/>
              <w:adjustRightInd/>
              <w:spacing w:line="440" w:lineRule="exact"/>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各供应商对东南设计集团财务信息化背景和建设现状的描述和了解程度由评委进行比较评价，详细、可行、合理的得3分,较详细、较可行、较合理的得2分；不详细、较可行、较合理的得1分；不详细、不可行、不合理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jc w:val="center"/>
        </w:trPr>
        <w:tc>
          <w:tcPr>
            <w:tcW w:w="827" w:type="dxa"/>
            <w:noWrap w:val="0"/>
            <w:vAlign w:val="center"/>
          </w:tcPr>
          <w:p>
            <w:pPr>
              <w:pStyle w:val="3"/>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p>
        </w:tc>
        <w:tc>
          <w:tcPr>
            <w:tcW w:w="1357"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专业能力证明</w:t>
            </w:r>
          </w:p>
        </w:tc>
        <w:tc>
          <w:tcPr>
            <w:tcW w:w="1389"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u w:val="single"/>
                <w:lang w:val="en-US" w:eastAsia="zh-CN"/>
              </w:rPr>
              <w:t>3</w:t>
            </w:r>
            <w:r>
              <w:rPr>
                <w:rFonts w:hint="eastAsia" w:ascii="宋体" w:hAnsi="宋体" w:eastAsia="宋体" w:cs="宋体"/>
                <w:b w:val="0"/>
                <w:bCs w:val="0"/>
                <w:color w:val="auto"/>
                <w:kern w:val="1"/>
                <w:sz w:val="28"/>
                <w:szCs w:val="28"/>
                <w:highlight w:val="none"/>
                <w:lang w:val="en-US" w:eastAsia="zh-CN"/>
              </w:rPr>
              <w:t>分</w:t>
            </w:r>
          </w:p>
        </w:tc>
        <w:tc>
          <w:tcPr>
            <w:tcW w:w="6272" w:type="dxa"/>
            <w:noWrap w:val="0"/>
            <w:vAlign w:val="center"/>
          </w:tcPr>
          <w:p>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供应商具有金蝶EAS授权资格的得3分，其它情况不得分。</w:t>
            </w:r>
          </w:p>
          <w:p>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需提供EAS授权文件复印件加盖比选申请人单位公章。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jc w:val="center"/>
        </w:trPr>
        <w:tc>
          <w:tcPr>
            <w:tcW w:w="827" w:type="dxa"/>
            <w:noWrap w:val="0"/>
            <w:vAlign w:val="center"/>
          </w:tcPr>
          <w:p>
            <w:pPr>
              <w:pStyle w:val="3"/>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p>
        </w:tc>
        <w:tc>
          <w:tcPr>
            <w:tcW w:w="1357"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开发方案</w:t>
            </w:r>
          </w:p>
        </w:tc>
        <w:tc>
          <w:tcPr>
            <w:tcW w:w="1389"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u w:val="single"/>
                <w:lang w:val="en-US" w:eastAsia="zh-CN"/>
              </w:rPr>
            </w:pPr>
            <w:r>
              <w:rPr>
                <w:rFonts w:hint="eastAsia" w:ascii="宋体" w:hAnsi="宋体" w:eastAsia="宋体" w:cs="宋体"/>
                <w:b w:val="0"/>
                <w:bCs w:val="0"/>
                <w:color w:val="auto"/>
                <w:kern w:val="1"/>
                <w:sz w:val="28"/>
                <w:szCs w:val="28"/>
                <w:highlight w:val="none"/>
                <w:u w:val="single"/>
                <w:lang w:val="en-US" w:eastAsia="zh-CN"/>
              </w:rPr>
              <w:t>3</w:t>
            </w:r>
            <w:r>
              <w:rPr>
                <w:rFonts w:hint="eastAsia" w:ascii="宋体" w:hAnsi="宋体" w:eastAsia="宋体" w:cs="宋体"/>
                <w:b w:val="0"/>
                <w:bCs w:val="0"/>
                <w:color w:val="auto"/>
                <w:kern w:val="1"/>
                <w:sz w:val="28"/>
                <w:szCs w:val="28"/>
                <w:highlight w:val="none"/>
                <w:lang w:val="en-US" w:eastAsia="zh-CN"/>
              </w:rPr>
              <w:t>分</w:t>
            </w:r>
          </w:p>
        </w:tc>
        <w:tc>
          <w:tcPr>
            <w:tcW w:w="6272" w:type="dxa"/>
            <w:noWrap w:val="0"/>
            <w:vAlign w:val="center"/>
          </w:tcPr>
          <w:p>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根据各供应商提供的开发方案由评标委员会进行比较评价，详细、可行、合理的得3分；较可行、较合理的得2分；不详细，不可行、不合理的不得分。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jc w:val="center"/>
        </w:trPr>
        <w:tc>
          <w:tcPr>
            <w:tcW w:w="827" w:type="dxa"/>
            <w:noWrap w:val="0"/>
            <w:vAlign w:val="center"/>
          </w:tcPr>
          <w:p>
            <w:pPr>
              <w:pStyle w:val="3"/>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p>
        </w:tc>
        <w:tc>
          <w:tcPr>
            <w:tcW w:w="1357"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计划安排</w:t>
            </w:r>
          </w:p>
        </w:tc>
        <w:tc>
          <w:tcPr>
            <w:tcW w:w="1389"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u w:val="single"/>
                <w:lang w:val="en-US" w:eastAsia="zh-CN"/>
              </w:rPr>
            </w:pPr>
            <w:r>
              <w:rPr>
                <w:rFonts w:hint="eastAsia" w:ascii="宋体" w:hAnsi="宋体" w:eastAsia="宋体" w:cs="宋体"/>
                <w:b w:val="0"/>
                <w:bCs w:val="0"/>
                <w:color w:val="auto"/>
                <w:kern w:val="1"/>
                <w:sz w:val="28"/>
                <w:szCs w:val="28"/>
                <w:highlight w:val="none"/>
                <w:u w:val="single"/>
                <w:lang w:val="en-US" w:eastAsia="zh-CN"/>
              </w:rPr>
              <w:t>3</w:t>
            </w:r>
            <w:r>
              <w:rPr>
                <w:rFonts w:hint="eastAsia" w:ascii="宋体" w:hAnsi="宋体" w:eastAsia="宋体" w:cs="宋体"/>
                <w:b w:val="0"/>
                <w:bCs w:val="0"/>
                <w:color w:val="auto"/>
                <w:kern w:val="1"/>
                <w:sz w:val="28"/>
                <w:szCs w:val="28"/>
                <w:highlight w:val="none"/>
                <w:lang w:val="en-US" w:eastAsia="zh-CN"/>
              </w:rPr>
              <w:t>分</w:t>
            </w:r>
          </w:p>
        </w:tc>
        <w:tc>
          <w:tcPr>
            <w:tcW w:w="6272" w:type="dxa"/>
            <w:noWrap w:val="0"/>
            <w:vAlign w:val="center"/>
          </w:tcPr>
          <w:p>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根据各供应商提供的开发进度计划安排、阶段任务完成的解决方案进行横向比较，科学合理的得3分,较详细、较可行、较合理的得1分；不详细、不可行、不合理的不得分。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3" w:hRule="atLeast"/>
          <w:jc w:val="center"/>
        </w:trPr>
        <w:tc>
          <w:tcPr>
            <w:tcW w:w="827" w:type="dxa"/>
            <w:noWrap w:val="0"/>
            <w:vAlign w:val="center"/>
          </w:tcPr>
          <w:p>
            <w:pPr>
              <w:pStyle w:val="3"/>
              <w:keepNext w:val="0"/>
              <w:keepLines w:val="0"/>
              <w:pageBreakBefore w:val="0"/>
              <w:kinsoku/>
              <w:wordWrap/>
              <w:overflowPunct/>
              <w:topLinePunct w:val="0"/>
              <w:autoSpaceDE/>
              <w:autoSpaceDN/>
              <w:bidi w:val="0"/>
              <w:adjustRightInd/>
              <w:snapToGrid w:val="0"/>
              <w:spacing w:line="440" w:lineRule="exact"/>
              <w:ind w:firstLine="0"/>
              <w:jc w:val="center"/>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p>
        </w:tc>
        <w:tc>
          <w:tcPr>
            <w:tcW w:w="1357"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color w:val="auto"/>
                <w:kern w:val="1"/>
                <w:sz w:val="28"/>
                <w:szCs w:val="28"/>
                <w:highlight w:val="none"/>
                <w:lang w:val="en-US" w:eastAsia="zh-CN" w:bidi="ar-SA"/>
              </w:rPr>
            </w:pPr>
            <w:r>
              <w:rPr>
                <w:rFonts w:hint="eastAsia" w:ascii="宋体" w:hAnsi="宋体" w:eastAsia="宋体" w:cs="宋体"/>
                <w:color w:val="auto"/>
                <w:kern w:val="1"/>
                <w:sz w:val="28"/>
                <w:szCs w:val="28"/>
                <w:highlight w:val="none"/>
                <w:lang w:val="en-US" w:eastAsia="zh-CN" w:bidi="ar-SA"/>
              </w:rPr>
              <w:t>售后服务响应计划</w:t>
            </w:r>
          </w:p>
        </w:tc>
        <w:tc>
          <w:tcPr>
            <w:tcW w:w="1389"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eastAsia" w:ascii="宋体" w:hAnsi="宋体" w:eastAsia="宋体" w:cs="宋体"/>
                <w:b w:val="0"/>
                <w:bCs w:val="0"/>
                <w:color w:val="auto"/>
                <w:kern w:val="1"/>
                <w:sz w:val="28"/>
                <w:szCs w:val="28"/>
                <w:highlight w:val="none"/>
                <w:u w:val="single"/>
                <w:lang w:val="en-US" w:eastAsia="zh-CN"/>
              </w:rPr>
            </w:pPr>
            <w:r>
              <w:rPr>
                <w:rFonts w:hint="eastAsia" w:ascii="宋体" w:hAnsi="宋体" w:eastAsia="宋体" w:cs="宋体"/>
                <w:b w:val="0"/>
                <w:bCs w:val="0"/>
                <w:color w:val="auto"/>
                <w:kern w:val="1"/>
                <w:sz w:val="28"/>
                <w:szCs w:val="28"/>
                <w:highlight w:val="none"/>
                <w:u w:val="single"/>
                <w:lang w:val="en-US" w:eastAsia="zh-CN"/>
              </w:rPr>
              <w:t>3</w:t>
            </w:r>
            <w:r>
              <w:rPr>
                <w:rFonts w:hint="eastAsia" w:ascii="宋体" w:hAnsi="宋体" w:eastAsia="宋体" w:cs="宋体"/>
                <w:b w:val="0"/>
                <w:bCs w:val="0"/>
                <w:color w:val="auto"/>
                <w:kern w:val="1"/>
                <w:sz w:val="28"/>
                <w:szCs w:val="28"/>
                <w:highlight w:val="none"/>
                <w:lang w:val="en-US" w:eastAsia="zh-CN"/>
              </w:rPr>
              <w:t>分</w:t>
            </w:r>
          </w:p>
        </w:tc>
        <w:tc>
          <w:tcPr>
            <w:tcW w:w="6272" w:type="dxa"/>
            <w:noWrap w:val="0"/>
            <w:vAlign w:val="center"/>
          </w:tcPr>
          <w:p>
            <w:pPr>
              <w:keepNext w:val="0"/>
              <w:keepLines w:val="0"/>
              <w:pageBreakBefore w:val="0"/>
              <w:numPr>
                <w:ilvl w:val="0"/>
                <w:numId w:val="0"/>
              </w:numPr>
              <w:kinsoku/>
              <w:wordWrap/>
              <w:overflowPunct/>
              <w:topLinePunct w:val="0"/>
              <w:autoSpaceDE/>
              <w:autoSpaceDN/>
              <w:bidi w:val="0"/>
              <w:adjustRightInd/>
              <w:spacing w:line="440" w:lineRule="exact"/>
              <w:ind w:left="0" w:leftChars="0" w:firstLine="0" w:firstLineChars="0"/>
              <w:textAlignment w:val="auto"/>
              <w:rPr>
                <w:rFonts w:hint="eastAsia" w:ascii="宋体" w:hAnsi="宋体" w:eastAsia="宋体" w:cs="宋体"/>
                <w:b w:val="0"/>
                <w:bCs w:val="0"/>
                <w:color w:val="auto"/>
                <w:kern w:val="1"/>
                <w:sz w:val="28"/>
                <w:szCs w:val="28"/>
                <w:highlight w:val="none"/>
                <w:lang w:val="en-US" w:eastAsia="zh-CN" w:bidi="ar-SA"/>
              </w:rPr>
            </w:pPr>
            <w:r>
              <w:rPr>
                <w:rFonts w:hint="eastAsia" w:ascii="宋体" w:hAnsi="宋体" w:eastAsia="宋体" w:cs="宋体"/>
                <w:b w:val="0"/>
                <w:bCs w:val="0"/>
                <w:color w:val="auto"/>
                <w:kern w:val="1"/>
                <w:sz w:val="28"/>
                <w:szCs w:val="28"/>
                <w:highlight w:val="none"/>
                <w:lang w:val="en-US" w:eastAsia="zh-CN" w:bidi="ar-SA"/>
              </w:rPr>
              <w:t>根据各供应商提供的售后服务方式及时间响应计划进行横向比较，最优的得3分,其次的得2分；其它的得1分。</w:t>
            </w:r>
          </w:p>
        </w:tc>
      </w:tr>
    </w:tbl>
    <w:p>
      <w:pPr>
        <w:widowControl/>
        <w:spacing w:line="500" w:lineRule="exact"/>
        <w:ind w:firstLine="480"/>
        <w:jc w:val="left"/>
        <w:rPr>
          <w:rFonts w:hint="eastAsia" w:ascii="黑体" w:hAnsi="黑体" w:eastAsia="黑体" w:cs="黑体"/>
          <w:color w:val="auto"/>
          <w:sz w:val="32"/>
          <w:szCs w:val="32"/>
          <w:highlight w:val="none"/>
          <w:shd w:val="clear" w:color="auto" w:fill="FFFFFF"/>
          <w:lang w:eastAsia="zh-CN"/>
        </w:rPr>
      </w:pPr>
      <w:r>
        <w:rPr>
          <w:rFonts w:hint="eastAsia" w:ascii="宋体" w:hAnsi="宋体" w:cs="宋体"/>
          <w:color w:val="auto"/>
          <w:kern w:val="1"/>
          <w:sz w:val="28"/>
          <w:szCs w:val="28"/>
          <w:highlight w:val="none"/>
          <w:lang w:eastAsia="zh-CN"/>
        </w:rPr>
        <w:t>注：以上证明文件均应加盖比选申请人单位公章。</w:t>
      </w:r>
    </w:p>
    <w:p>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rPr>
        <w:rFonts w:hint="default"/>
        <w:i w:val="0"/>
        <w:iCs w:val="0"/>
        <w:color w:val="auto"/>
      </w:rPr>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56829"/>
    <w:rsid w:val="03280C93"/>
    <w:rsid w:val="059E129D"/>
    <w:rsid w:val="06960F94"/>
    <w:rsid w:val="07727BA5"/>
    <w:rsid w:val="07796349"/>
    <w:rsid w:val="083F66C3"/>
    <w:rsid w:val="09BE1703"/>
    <w:rsid w:val="0C1E4474"/>
    <w:rsid w:val="0C556A1C"/>
    <w:rsid w:val="0E8B27CF"/>
    <w:rsid w:val="126B3CDB"/>
    <w:rsid w:val="129E527F"/>
    <w:rsid w:val="12BF02B6"/>
    <w:rsid w:val="12D83D85"/>
    <w:rsid w:val="15753D2B"/>
    <w:rsid w:val="1A002902"/>
    <w:rsid w:val="1B3B1658"/>
    <w:rsid w:val="1BDA14AF"/>
    <w:rsid w:val="1D03460E"/>
    <w:rsid w:val="1F937390"/>
    <w:rsid w:val="20D277A0"/>
    <w:rsid w:val="233F4E63"/>
    <w:rsid w:val="25400859"/>
    <w:rsid w:val="27177672"/>
    <w:rsid w:val="27C43285"/>
    <w:rsid w:val="2912062F"/>
    <w:rsid w:val="2A8C4DC6"/>
    <w:rsid w:val="2EB22EE2"/>
    <w:rsid w:val="2F9467A9"/>
    <w:rsid w:val="30C65D46"/>
    <w:rsid w:val="311469E6"/>
    <w:rsid w:val="31AD13C4"/>
    <w:rsid w:val="31F02F20"/>
    <w:rsid w:val="3200248B"/>
    <w:rsid w:val="32876304"/>
    <w:rsid w:val="32D8051B"/>
    <w:rsid w:val="33667D49"/>
    <w:rsid w:val="338A05E8"/>
    <w:rsid w:val="39AB1652"/>
    <w:rsid w:val="3A0D04A3"/>
    <w:rsid w:val="3B366E92"/>
    <w:rsid w:val="3B582EDF"/>
    <w:rsid w:val="3D09223A"/>
    <w:rsid w:val="3D456F30"/>
    <w:rsid w:val="3EAE1148"/>
    <w:rsid w:val="42730E06"/>
    <w:rsid w:val="46450240"/>
    <w:rsid w:val="476F36E5"/>
    <w:rsid w:val="48A06FE7"/>
    <w:rsid w:val="48FE6CDB"/>
    <w:rsid w:val="4AE92DC6"/>
    <w:rsid w:val="4B0561C1"/>
    <w:rsid w:val="4C1B19B4"/>
    <w:rsid w:val="4D231C06"/>
    <w:rsid w:val="51422E4F"/>
    <w:rsid w:val="51EE3B97"/>
    <w:rsid w:val="527C1449"/>
    <w:rsid w:val="56975A7B"/>
    <w:rsid w:val="56C80AF1"/>
    <w:rsid w:val="56F86AFC"/>
    <w:rsid w:val="57030DBA"/>
    <w:rsid w:val="578E0271"/>
    <w:rsid w:val="5B5149EB"/>
    <w:rsid w:val="5E690830"/>
    <w:rsid w:val="5FAF2DB4"/>
    <w:rsid w:val="63E37F18"/>
    <w:rsid w:val="641E28D5"/>
    <w:rsid w:val="672204A7"/>
    <w:rsid w:val="67491C63"/>
    <w:rsid w:val="6823254E"/>
    <w:rsid w:val="69CA50FF"/>
    <w:rsid w:val="6AE41559"/>
    <w:rsid w:val="6E46636E"/>
    <w:rsid w:val="6FAE5BAA"/>
    <w:rsid w:val="70BD60B7"/>
    <w:rsid w:val="70CD6C5E"/>
    <w:rsid w:val="70F121C0"/>
    <w:rsid w:val="723F172D"/>
    <w:rsid w:val="72C57E4E"/>
    <w:rsid w:val="72F55F4B"/>
    <w:rsid w:val="73482AB1"/>
    <w:rsid w:val="74507772"/>
    <w:rsid w:val="74E74C92"/>
    <w:rsid w:val="75B0150C"/>
    <w:rsid w:val="778F1C6E"/>
    <w:rsid w:val="79AE4BD3"/>
    <w:rsid w:val="7A533B56"/>
    <w:rsid w:val="7A66771C"/>
    <w:rsid w:val="7B301F1B"/>
    <w:rsid w:val="7C9B0C3B"/>
    <w:rsid w:val="7D3F5C0A"/>
    <w:rsid w:val="7D6E3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Title"/>
    <w:basedOn w:val="1"/>
    <w:next w:val="1"/>
    <w:qFormat/>
    <w:uiPriority w:val="10"/>
    <w:pPr>
      <w:spacing w:before="60" w:after="60"/>
      <w:jc w:val="center"/>
      <w:outlineLvl w:val="0"/>
    </w:pPr>
    <w:rPr>
      <w:rFonts w:ascii="Cambria" w:hAnsi="Cambria" w:cs="Times New Roman"/>
      <w:b/>
      <w:bCs/>
      <w:szCs w:val="32"/>
    </w:rPr>
  </w:style>
  <w:style w:type="paragraph" w:customStyle="1" w:styleId="11">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2">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2021-11-02T02:47:00Z</dcterms:created>
  <dc:creator>HP</dc:creator>
  <cp:lastModifiedBy>陈锡图</cp:lastModifiedBy>
  <dcterms:modified xsi:type="dcterms:W3CDTF">2024-10-11T06:52:04Z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FA766C902C514B2297F64BEC7081245A</vt:lpwstr>
  </property>
</Properties>
</file>